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R4-2205400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PRS measurement outside the measurement gap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10.21.2.6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this meeting, RAN4 receives a LS from RAN1 on PRS measurement outside the measurement gap [1] and some of the content is copied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autoSpaceDE/>
                    <w:autoSpaceDN/>
                    <w:adjustRightInd/>
                    <w:snapToGrid/>
                    <w:spacing w:after="0"/>
                    <w:jc w:val="left"/>
                    <w:rPr>
                      <w:rFonts w:ascii="Times" w:hAnsi="Times" w:eastAsia="Batang"/>
                      <w:b/>
                      <w:sz w:val="20"/>
                      <w:szCs w:val="24"/>
                      <w:lang w:val="en-GB" w:eastAsia="zh-CN"/>
                    </w:rPr>
                  </w:pPr>
                  <w:r>
                    <w:rPr>
                      <w:rFonts w:ascii="Times" w:hAnsi="Times" w:eastAsia="Batang"/>
                      <w:b/>
                      <w:sz w:val="20"/>
                      <w:szCs w:val="24"/>
                      <w:highlight w:val="green"/>
                      <w:lang w:val="en-GB" w:eastAsia="zh-CN"/>
                    </w:rPr>
                    <w:t>Agreement</w:t>
                  </w:r>
                </w:p>
                <w:p>
                  <w:pPr>
                    <w:widowControl w:val="0"/>
                    <w:autoSpaceDE/>
                    <w:autoSpaceDN/>
                    <w:adjustRightInd/>
                    <w:snapToGrid/>
                    <w:spacing w:afterLines="50"/>
                    <w:jc w:val="left"/>
                    <w:rPr>
                      <w:rFonts w:ascii="Times" w:hAnsi="Times" w:eastAsia="Batang"/>
                      <w:sz w:val="20"/>
                      <w:szCs w:val="24"/>
                      <w:lang w:val="en-GB" w:eastAsia="zh-CN"/>
                    </w:rPr>
                  </w:pPr>
                  <w:r>
                    <w:rPr>
                      <w:rFonts w:ascii="Times" w:hAnsi="Times" w:eastAsia="Batang"/>
                      <w:sz w:val="20"/>
                      <w:szCs w:val="24"/>
                      <w:lang w:val="en-GB" w:eastAsia="zh-CN"/>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pPr>
                    <w:widowControl w:val="0"/>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Examples for the threshold: CP length, 50% of the OFDM symbol, 1ms</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Other options can also be considered by RAN4</w:t>
                  </w:r>
                </w:p>
                <w:p>
                  <w:pPr>
                    <w:widowControl w:val="0"/>
                    <w:numPr>
                      <w:ilvl w:val="1"/>
                      <w:numId w:val="6"/>
                    </w:numPr>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eastAsia="zh-CN"/>
                    </w:rPr>
                    <w:t>Note: the requirement on whether UE needs to calculate the expected Rx time difference and/or compare against</w:t>
                  </w:r>
                  <w:r>
                    <w:rPr>
                      <w:rFonts w:ascii="Times" w:hAnsi="Times" w:eastAsia="Batang"/>
                      <w:sz w:val="20"/>
                      <w:szCs w:val="24"/>
                      <w:lang w:val="en-GB" w:eastAsia="zh-CN"/>
                    </w:rPr>
                    <w:t xml:space="preserve"> the threshold is also a part of the study request</w:t>
                  </w:r>
                </w:p>
              </w:tc>
            </w:tr>
          </w:tbl>
          <w:p>
            <w:pPr>
              <w:pStyle w:val="66"/>
              <w:numPr>
                <w:ilvl w:val="0"/>
                <w:numId w:val="0"/>
              </w:numPr>
              <w:textAlignment w:val="auto"/>
              <w:rPr>
                <w:rFonts w:hint="eastAsia" w:ascii="Arial" w:hAnsi="Arial" w:eastAsia="宋体" w:cs="Arial"/>
                <w:bCs/>
                <w:lang w:val="en-US" w:eastAsia="zh-CN"/>
              </w:rPr>
            </w:pPr>
          </w:p>
        </w:tc>
      </w:tr>
    </w:tbl>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RAN1 now has working assumption on PRS measurement out of gap and wants to confirm with RAN4 the value of the time difference.</w:t>
      </w:r>
    </w:p>
    <w:p>
      <w:pPr>
        <w:rPr>
          <w:rFonts w:hint="eastAsia"/>
          <w:b w:val="0"/>
          <w:bCs/>
          <w:sz w:val="22"/>
          <w:szCs w:val="22"/>
          <w:lang w:val="en-US" w:eastAsia="zh-CN"/>
        </w:rPr>
      </w:pPr>
      <w:r>
        <w:rPr>
          <w:rFonts w:hint="eastAsia"/>
          <w:b w:val="0"/>
          <w:bCs/>
          <w:sz w:val="22"/>
          <w:szCs w:val="22"/>
          <w:lang w:val="en-US" w:eastAsia="zh-CN"/>
        </w:rPr>
        <w:t>The RAN4 discussions during RAN4 101-e-bis generated some tentative agreements, as shown in the WF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u w:val="single"/>
                <w:lang w:eastAsia="ko-KR"/>
              </w:rPr>
            </w:pPr>
            <w:r>
              <w:rPr>
                <w:b/>
                <w:u w:val="single"/>
                <w:lang w:eastAsia="ko-KR"/>
              </w:rPr>
              <w:t>Issue 1-2-2: Related to RAN1 LS on condition of PRS measurement outside the MG</w:t>
            </w:r>
          </w:p>
          <w:p>
            <w:pPr>
              <w:pStyle w:val="9"/>
            </w:pPr>
            <w:r>
              <w:t>Related to RAN1 LS in R1-2112883 on condition of PRS measurement outside the MG. Response on if UE needs to calculate the expected Rx time difference and/or compare it against the threshold.</w:t>
            </w:r>
          </w:p>
          <w:p>
            <w:pPr>
              <w:pStyle w:val="9"/>
              <w:spacing w:after="240"/>
              <w:rPr>
                <w:i/>
                <w:iCs/>
              </w:rPr>
            </w:pPr>
            <w:r>
              <w:t>“</w:t>
            </w:r>
            <w:r>
              <w:rPr>
                <w:i/>
                <w:iCs/>
              </w:rPr>
              <w:t>Rx timing between the reference cell/TRP and serving cell where the PPW is configured should be taken into account when evaluating the threshold for the applicability condition on Rx timing difference between the serving cell and neighbor cells/TRPs”.</w:t>
            </w:r>
          </w:p>
          <w:p>
            <w:pPr>
              <w:rPr>
                <w:rFonts w:eastAsiaTheme="minorEastAsia"/>
                <w:b/>
                <w:bCs/>
                <w:i/>
                <w:u w:val="single"/>
                <w:lang w:val="en-US" w:eastAsia="zh-CN"/>
              </w:rPr>
            </w:pPr>
            <w:r>
              <w:rPr>
                <w:rFonts w:eastAsiaTheme="minorEastAsia"/>
                <w:b/>
                <w:bCs/>
                <w:i/>
                <w:u w:val="single"/>
                <w:lang w:val="en-US" w:eastAsia="zh-CN"/>
              </w:rPr>
              <w:t>A</w:t>
            </w:r>
            <w:r>
              <w:rPr>
                <w:rFonts w:hint="eastAsia" w:eastAsiaTheme="minorEastAsia"/>
                <w:b/>
                <w:bCs/>
                <w:i/>
                <w:u w:val="single"/>
                <w:lang w:val="en-US" w:eastAsia="zh-CN"/>
              </w:rPr>
              <w:t>greements:</w:t>
            </w:r>
          </w:p>
          <w:p>
            <w:pPr>
              <w:pStyle w:val="9"/>
            </w:pPr>
            <w:r>
              <w:t>Sent following reply LS to RAN1 on related agreements:</w:t>
            </w:r>
          </w:p>
          <w:p>
            <w:pPr>
              <w:pStyle w:val="9"/>
              <w:numPr>
                <w:ilvl w:val="0"/>
                <w:numId w:val="7"/>
              </w:numPr>
            </w:pPr>
            <w:r>
              <w:t>R4-2202679, LS reply on condition of PRS measurement outside the MG, Vivo</w:t>
            </w:r>
          </w:p>
          <w:p>
            <w:pPr>
              <w:spacing w:before="240"/>
              <w:rPr>
                <w:b/>
                <w:bCs/>
                <w:i/>
                <w:iCs/>
                <w:u w:val="single"/>
              </w:rPr>
            </w:pPr>
            <w:r>
              <w:rPr>
                <w:b/>
                <w:bCs/>
                <w:i/>
                <w:iCs/>
                <w:u w:val="single"/>
              </w:rPr>
              <w:t>Open issues:</w:t>
            </w:r>
          </w:p>
          <w:p>
            <w:pPr>
              <w:pStyle w:val="26"/>
              <w:numPr>
                <w:ilvl w:val="0"/>
                <w:numId w:val="8"/>
              </w:numPr>
              <w:spacing w:after="120"/>
              <w:ind w:left="936"/>
              <w:contextualSpacing w:val="0"/>
              <w:rPr>
                <w:rFonts w:ascii="Times New Roman" w:hAnsi="Times New Roman"/>
                <w:sz w:val="20"/>
                <w:lang w:eastAsia="zh-CN"/>
              </w:rPr>
            </w:pPr>
            <w:r>
              <w:rPr>
                <w:rFonts w:ascii="Times New Roman" w:hAnsi="Times New Roman"/>
                <w:sz w:val="20"/>
                <w:lang w:eastAsia="zh-CN"/>
              </w:rPr>
              <w:t xml:space="preserve">Proposal 1: </w:t>
            </w:r>
          </w:p>
          <w:p>
            <w:pPr>
              <w:pStyle w:val="26"/>
              <w:numPr>
                <w:ilvl w:val="2"/>
                <w:numId w:val="9"/>
              </w:numPr>
              <w:overflowPunct w:val="0"/>
              <w:autoSpaceDE w:val="0"/>
              <w:autoSpaceDN w:val="0"/>
              <w:adjustRightInd w:val="0"/>
              <w:ind w:left="1797" w:hanging="357"/>
              <w:contextualSpacing w:val="0"/>
              <w:textAlignment w:val="baseline"/>
              <w:rPr>
                <w:rFonts w:ascii="Times New Roman" w:hAnsi="Times New Roman"/>
                <w:bCs/>
                <w:sz w:val="20"/>
                <w:lang w:eastAsia="zh-CN"/>
              </w:rPr>
            </w:pPr>
            <w:r>
              <w:rPr>
                <w:rFonts w:ascii="Times New Roman" w:hAnsi="Times New Roman"/>
                <w:bCs/>
                <w:sz w:val="20"/>
                <w:lang w:eastAsia="zh-CN"/>
              </w:rPr>
              <w:t xml:space="preserve">Expected RTD is defined as max(X1, X2), where </w:t>
            </w:r>
          </w:p>
          <w:p>
            <w:pPr>
              <w:numPr>
                <w:ilvl w:val="3"/>
                <w:numId w:val="9"/>
              </w:numPr>
              <w:spacing w:after="0"/>
              <w:rPr>
                <w:bCs/>
                <w:lang w:val="en-US" w:eastAsia="zh-CN"/>
              </w:rPr>
            </w:pPr>
            <w:r>
              <w:rPr>
                <w:bCs/>
                <w:lang w:val="en-US" w:eastAsia="zh-CN"/>
              </w:rPr>
              <w:t xml:space="preserve">X1 = X1’, if X1’ &lt; 0.5 slot; X1 = 1-X1’, otherwise </w:t>
            </w:r>
          </w:p>
          <w:p>
            <w:pPr>
              <w:numPr>
                <w:ilvl w:val="3"/>
                <w:numId w:val="9"/>
              </w:numPr>
              <w:spacing w:after="0"/>
              <w:rPr>
                <w:bCs/>
                <w:lang w:val="en-US" w:eastAsia="zh-CN"/>
              </w:rPr>
            </w:pPr>
            <w:r>
              <w:rPr>
                <w:bCs/>
                <w:lang w:val="en-US" w:eastAsia="zh-CN"/>
              </w:rPr>
              <w:t>X1’= mod(expected RSTD + expected RSTD uncertainty, slot length)</w:t>
            </w:r>
          </w:p>
          <w:p>
            <w:pPr>
              <w:numPr>
                <w:ilvl w:val="3"/>
                <w:numId w:val="9"/>
              </w:numPr>
              <w:spacing w:after="0"/>
              <w:rPr>
                <w:bCs/>
                <w:lang w:val="en-US" w:eastAsia="zh-CN"/>
              </w:rPr>
            </w:pPr>
            <w:r>
              <w:rPr>
                <w:bCs/>
                <w:lang w:val="en-US" w:eastAsia="zh-CN"/>
              </w:rPr>
              <w:t xml:space="preserve">X2 = X2’, if X2’ &lt; 0.5 slot; X2 = 1-X2’, otherwise </w:t>
            </w:r>
          </w:p>
          <w:p>
            <w:pPr>
              <w:numPr>
                <w:ilvl w:val="3"/>
                <w:numId w:val="9"/>
              </w:numPr>
              <w:spacing w:after="0"/>
              <w:rPr>
                <w:bCs/>
                <w:lang w:val="en-US" w:eastAsia="zh-CN"/>
              </w:rPr>
            </w:pPr>
            <w:r>
              <w:rPr>
                <w:bCs/>
                <w:lang w:val="en-US" w:eastAsia="zh-CN"/>
              </w:rPr>
              <w:t>X2’= mod(expected RSTD - expected RSTD uncertainty, slot length)</w:t>
            </w:r>
          </w:p>
          <w:p>
            <w:pPr>
              <w:pStyle w:val="26"/>
              <w:numPr>
                <w:ilvl w:val="2"/>
                <w:numId w:val="9"/>
              </w:numPr>
              <w:overflowPunct w:val="0"/>
              <w:autoSpaceDE w:val="0"/>
              <w:autoSpaceDN w:val="0"/>
              <w:adjustRightInd w:val="0"/>
              <w:spacing w:before="120" w:after="120"/>
              <w:ind w:left="1797" w:hanging="357"/>
              <w:contextualSpacing w:val="0"/>
              <w:textAlignment w:val="baseline"/>
              <w:rPr>
                <w:rFonts w:ascii="Times New Roman" w:hAnsi="Times New Roman"/>
                <w:bCs/>
                <w:sz w:val="20"/>
                <w:lang w:eastAsia="zh-CN"/>
              </w:rPr>
            </w:pPr>
            <w:r>
              <w:rPr>
                <w:rFonts w:ascii="Times New Roman" w:hAnsi="Times New Roman"/>
                <w:bCs/>
                <w:sz w:val="20"/>
                <w:lang w:eastAsia="zh-CN"/>
              </w:rPr>
              <w:t>Introduce UE capability for the maximum Rx timing difference in MG-less PRS measurement, with at least two values {CP length, 0.5 slot}.</w:t>
            </w:r>
          </w:p>
          <w:p>
            <w:pPr>
              <w:pStyle w:val="26"/>
              <w:numPr>
                <w:ilvl w:val="2"/>
                <w:numId w:val="9"/>
              </w:numPr>
              <w:overflowPunct w:val="0"/>
              <w:autoSpaceDE w:val="0"/>
              <w:autoSpaceDN w:val="0"/>
              <w:adjustRightInd w:val="0"/>
              <w:spacing w:after="120"/>
              <w:contextualSpacing w:val="0"/>
              <w:textAlignment w:val="baseline"/>
              <w:rPr>
                <w:rFonts w:ascii="Times New Roman" w:hAnsi="Times New Roman"/>
                <w:bCs/>
                <w:sz w:val="20"/>
                <w:lang w:eastAsia="zh-CN"/>
              </w:rPr>
            </w:pPr>
            <w:r>
              <w:rPr>
                <w:rFonts w:ascii="Times New Roman" w:hAnsi="Times New Roman"/>
                <w:bCs/>
                <w:sz w:val="20"/>
                <w:lang w:eastAsia="zh-CN"/>
              </w:rPr>
              <w:t>It is up to UE implementation whether to calculate the expected Rx time difference and/or compare it against the threshold</w:t>
            </w:r>
          </w:p>
          <w:p>
            <w:pPr>
              <w:pStyle w:val="26"/>
              <w:numPr>
                <w:ilvl w:val="0"/>
                <w:numId w:val="8"/>
              </w:numPr>
              <w:spacing w:after="120"/>
              <w:ind w:left="936"/>
              <w:contextualSpacing w:val="0"/>
              <w:rPr>
                <w:rFonts w:ascii="Times New Roman" w:hAnsi="Times New Roman"/>
                <w:sz w:val="20"/>
                <w:lang w:eastAsia="zh-CN"/>
              </w:rPr>
            </w:pPr>
            <w:r>
              <w:rPr>
                <w:rFonts w:ascii="Times New Roman" w:hAnsi="Times New Roman"/>
                <w:sz w:val="20"/>
                <w:lang w:eastAsia="zh-CN"/>
              </w:rPr>
              <w:t xml:space="preserve">Proposal 2: </w:t>
            </w:r>
          </w:p>
          <w:p>
            <w:pPr>
              <w:pStyle w:val="26"/>
              <w:numPr>
                <w:ilvl w:val="1"/>
                <w:numId w:val="10"/>
              </w:numPr>
              <w:overflowPunct w:val="0"/>
              <w:autoSpaceDE w:val="0"/>
              <w:autoSpaceDN w:val="0"/>
              <w:adjustRightInd w:val="0"/>
              <w:spacing w:after="120"/>
              <w:contextualSpacing w:val="0"/>
              <w:textAlignment w:val="baseline"/>
              <w:rPr>
                <w:rFonts w:ascii="Times New Roman" w:hAnsi="Times New Roman"/>
                <w:sz w:val="20"/>
                <w:lang w:eastAsia="zh-CN"/>
              </w:rPr>
            </w:pPr>
            <w:r>
              <w:rPr>
                <w:rFonts w:ascii="Times New Roman" w:hAnsi="Times New Roman"/>
                <w:sz w:val="20"/>
                <w:lang w:eastAsia="zh-CN"/>
              </w:rPr>
              <w:t>The maximum expected Rx timing difference between the PRS from serving cell and that from non-serving cell would reach 1064us and 1016us for FR1 and FR2 respectively.</w:t>
            </w:r>
          </w:p>
          <w:p>
            <w:pPr>
              <w:pStyle w:val="26"/>
              <w:numPr>
                <w:ilvl w:val="1"/>
                <w:numId w:val="10"/>
              </w:numPr>
              <w:overflowPunct w:val="0"/>
              <w:autoSpaceDE w:val="0"/>
              <w:autoSpaceDN w:val="0"/>
              <w:adjustRightInd w:val="0"/>
              <w:spacing w:after="120"/>
              <w:contextualSpacing w:val="0"/>
              <w:textAlignment w:val="baseline"/>
              <w:rPr>
                <w:rFonts w:ascii="Times New Roman" w:hAnsi="Times New Roman"/>
                <w:sz w:val="20"/>
                <w:lang w:eastAsia="zh-CN"/>
              </w:rPr>
            </w:pPr>
            <w:r>
              <w:rPr>
                <w:rFonts w:ascii="Times New Roman" w:hAnsi="Times New Roman"/>
                <w:sz w:val="20"/>
                <w:lang w:eastAsia="zh-CN"/>
              </w:rPr>
              <w:t>The threshold shall be the maximum expected Rx timing difference (e.g., 1064us and 1016us for FR1 and FR2 respectively) if the PRS from the nom-serving cell can be guaranteed within the PRS processing window for capability 1A and 1B.</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The threshold shall be CP length if the PRS have to be in the same symbols for the non-serving cell and serving cell for capability 2.</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 xml:space="preserve">Proposal 3: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The threshold, which is used to be compared against with the Rx timing difference to determine whether the PRS from the non-serving cell satisfy the condition of PRS measurement outside MG can be: [-½ CP length, ½ CP length]</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 xml:space="preserve">Proposal 4: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If single FFT processing is assumed, the condition for PRS measurement without MG is that the expected Rx timing difference between the PRS from the non-serving cell and that from serving cell is within CP</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Proposal 5:</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p>
          <w:p>
            <w:pPr>
              <w:pStyle w:val="26"/>
              <w:numPr>
                <w:ilvl w:val="2"/>
                <w:numId w:val="10"/>
              </w:numPr>
              <w:spacing w:after="120"/>
              <w:contextualSpacing w:val="0"/>
              <w:rPr>
                <w:rFonts w:ascii="Times New Roman" w:hAnsi="Times New Roman"/>
                <w:sz w:val="20"/>
                <w:lang w:eastAsia="zh-CN"/>
              </w:rPr>
            </w:pPr>
            <w:r>
              <w:rPr>
                <w:rFonts w:ascii="Times New Roman" w:hAnsi="Times New Roman"/>
                <w:sz w:val="20"/>
                <w:lang w:eastAsia="zh-CN"/>
              </w:rPr>
              <w:t xml:space="preserve">Threshold = </w:t>
            </w:r>
            <w:r>
              <w:rPr>
                <w:rFonts w:ascii="Times New Roman" w:hAnsi="Times New Roman" w:eastAsiaTheme="minorEastAsia"/>
                <w:sz w:val="20"/>
                <w:lang w:eastAsia="zh-CN"/>
              </w:rPr>
              <w:sym w:font="Symbol" w:char="F0B1"/>
            </w:r>
            <w:r>
              <w:rPr>
                <w:rFonts w:ascii="Times New Roman" w:hAnsi="Times New Roman" w:eastAsiaTheme="minorEastAsia"/>
                <w:sz w:val="20"/>
                <w:lang w:eastAsia="zh-CN"/>
              </w:rPr>
              <w:t>1/2 symbol</w:t>
            </w:r>
          </w:p>
          <w:p>
            <w:pPr>
              <w:pStyle w:val="26"/>
              <w:numPr>
                <w:ilvl w:val="0"/>
                <w:numId w:val="11"/>
              </w:numPr>
              <w:spacing w:after="120"/>
              <w:jc w:val="both"/>
              <w:rPr>
                <w:rFonts w:ascii="Times New Roman" w:hAnsi="Times New Roman" w:eastAsiaTheme="minorEastAsia"/>
                <w:color w:val="000000"/>
                <w:sz w:val="20"/>
                <w:lang w:eastAsia="zh-CN"/>
              </w:rPr>
            </w:pPr>
            <w:r>
              <w:rPr>
                <w:rFonts w:ascii="Times New Roman" w:hAnsi="Times New Roman" w:eastAsiaTheme="minorEastAsia"/>
                <w:color w:val="000000"/>
                <w:sz w:val="20"/>
                <w:lang w:eastAsia="zh-CN"/>
              </w:rPr>
              <w:t>Proposal 6:</w:t>
            </w:r>
          </w:p>
          <w:p>
            <w:pPr>
              <w:pStyle w:val="26"/>
              <w:numPr>
                <w:ilvl w:val="1"/>
                <w:numId w:val="11"/>
              </w:numPr>
              <w:spacing w:after="120"/>
              <w:jc w:val="both"/>
              <w:rPr>
                <w:rFonts w:hint="default"/>
                <w:b w:val="0"/>
                <w:bCs/>
                <w:sz w:val="22"/>
                <w:szCs w:val="22"/>
                <w:vertAlign w:val="baseline"/>
                <w:lang w:val="en-US" w:eastAsia="zh-CN"/>
              </w:rPr>
            </w:pPr>
            <w:r>
              <w:rPr>
                <w:rFonts w:ascii="Times New Roman" w:hAnsi="Times New Roman"/>
                <w:color w:val="000000"/>
                <w:sz w:val="20"/>
              </w:rPr>
              <w:t>Introduce UE capability for the threshold which is used to be compared against with the Rx timing difference to determine whether the PRS from the non-serving cell satisfy the condition of PRS measurement outside MG.</w:t>
            </w:r>
          </w:p>
          <w:p>
            <w:pPr>
              <w:pStyle w:val="26"/>
              <w:numPr>
                <w:ilvl w:val="1"/>
                <w:numId w:val="11"/>
              </w:numPr>
              <w:spacing w:after="120"/>
              <w:jc w:val="both"/>
              <w:rPr>
                <w:rFonts w:hint="default"/>
                <w:b w:val="0"/>
                <w:bCs/>
                <w:sz w:val="22"/>
                <w:szCs w:val="22"/>
                <w:vertAlign w:val="baseline"/>
                <w:lang w:val="en-US" w:eastAsia="zh-CN"/>
              </w:rPr>
            </w:pPr>
            <w:r>
              <w:rPr>
                <w:rFonts w:ascii="Times New Roman" w:hAnsi="Times New Roman"/>
                <w:color w:val="000000"/>
                <w:sz w:val="20"/>
                <w:lang w:eastAsia="zh-CN"/>
              </w:rPr>
              <w:t xml:space="preserve">Candidate thresholds: </w:t>
            </w:r>
            <w:r>
              <w:rPr>
                <w:rFonts w:ascii="Times New Roman" w:hAnsi="Times New Roman"/>
                <w:sz w:val="20"/>
                <w:lang w:eastAsia="zh-CN"/>
              </w:rPr>
              <w:t>{CP length, half of the symbol, half of the slot, 1ms}</w:t>
            </w:r>
          </w:p>
        </w:tc>
      </w:tr>
    </w:tbl>
    <w:p>
      <w:pPr>
        <w:rPr>
          <w:rFonts w:hint="default"/>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The RAN1 LS [1] first of all supports PRS measurement out of MG, which is in principle feasible, but subject to different UE capabilities. Also, it depends on whether PRS measurement if of higher priority now or RRM measurement is more important under the situation. Also, PRS from serving cells and PRS from neighbor cells also need to be discussed differently. It</w:t>
      </w:r>
      <w:r>
        <w:rPr>
          <w:rFonts w:hint="default"/>
          <w:b w:val="0"/>
          <w:bCs/>
          <w:sz w:val="22"/>
          <w:szCs w:val="22"/>
          <w:lang w:val="en-US" w:eastAsia="zh-CN"/>
        </w:rPr>
        <w:t>’</w:t>
      </w:r>
      <w:r>
        <w:rPr>
          <w:rFonts w:hint="eastAsia"/>
          <w:b w:val="0"/>
          <w:bCs/>
          <w:sz w:val="22"/>
          <w:szCs w:val="22"/>
          <w:lang w:val="en-US" w:eastAsia="zh-CN"/>
        </w:rPr>
        <w:t>s also worth noted that how the UE determines the priority of DL PRS resources can also be up to several possible ways, for instance based on configuration by the gNBs.</w:t>
      </w:r>
    </w:p>
    <w:p>
      <w:pPr>
        <w:rPr>
          <w:rFonts w:hint="default"/>
          <w:b w:val="0"/>
          <w:bCs/>
          <w:sz w:val="22"/>
          <w:szCs w:val="22"/>
          <w:lang w:val="en-US" w:eastAsia="zh-CN"/>
        </w:rPr>
      </w:pPr>
      <w:r>
        <w:rPr>
          <w:rFonts w:hint="eastAsia"/>
          <w:b w:val="0"/>
          <w:bCs/>
          <w:sz w:val="22"/>
          <w:szCs w:val="22"/>
          <w:lang w:val="en-US" w:eastAsia="zh-CN"/>
        </w:rPr>
        <w:t>From our point of view, the measurement outside gap can be supported, but under the condition that the Rx timing difference between the PRS from the non-serving cell and that from the serving cell is within a threshold. Looking at the RAN1 options provided in the LS, we think that the CP length can be a good candidate, since currently the CP length is determined to ensure good demodulation performance under typical channel conditions. In multiple FFT processing case, the threshold can be avoided.</w:t>
      </w:r>
    </w:p>
    <w:p>
      <w:pPr>
        <w:pStyle w:val="36"/>
        <w:rPr>
          <w:rFonts w:hint="default"/>
          <w:b w:val="0"/>
          <w:bCs/>
          <w:sz w:val="22"/>
          <w:szCs w:val="22"/>
          <w:lang w:val="en-US" w:eastAsia="zh-CN"/>
        </w:rPr>
      </w:pPr>
      <w:r>
        <w:rPr>
          <w:rFonts w:ascii="Times New Roman" w:hAnsi="Times New Roman"/>
          <w:sz w:val="22"/>
          <w:szCs w:val="22"/>
          <w:lang w:eastAsia="zh-CN"/>
        </w:rPr>
        <w:t>If single FFT processing is assumed, the condition for PRS measurement without MG is that the expected Rx timing difference between the PRS from the non-serving cell and that from serving cell is within CP</w:t>
      </w:r>
      <w:r>
        <w:rPr>
          <w:rFonts w:hint="eastAsia"/>
          <w:b/>
          <w:bCs w:val="0"/>
          <w:sz w:val="22"/>
          <w:szCs w:val="22"/>
          <w:lang w:val="en-US" w:eastAsia="zh-CN"/>
        </w:rPr>
        <w:t xml:space="preserve">. </w:t>
      </w:r>
      <w:r>
        <w:rPr>
          <w:rFonts w:hint="eastAsia"/>
          <w:sz w:val="22"/>
          <w:szCs w:val="22"/>
          <w:lang w:val="en-US" w:eastAsia="zh-CN"/>
        </w:rPr>
        <w:t>The</w:t>
      </w:r>
      <w:r>
        <w:rPr>
          <w:rFonts w:ascii="Times New Roman" w:hAnsi="Times New Roman"/>
          <w:sz w:val="22"/>
          <w:szCs w:val="22"/>
          <w:lang w:eastAsia="zh-CN"/>
        </w:rPr>
        <w:t xml:space="preserve"> threshold is not necessary when multiple FFT processing is assumed.</w:t>
      </w:r>
    </w:p>
    <w:p>
      <w:pPr>
        <w:pStyle w:val="28"/>
        <w:jc w:val="both"/>
      </w:pPr>
      <w:r>
        <w:rPr>
          <w:rFonts w:hint="eastAsia"/>
          <w:lang w:val="en-US" w:eastAsia="zh-CN"/>
        </w:rPr>
        <w:t>3</w:t>
      </w:r>
      <w:r>
        <w:tab/>
      </w:r>
      <w:r>
        <w:t>Conclusion</w:t>
      </w:r>
    </w:p>
    <w:p>
      <w:pPr>
        <w:pStyle w:val="36"/>
        <w:numPr>
          <w:ilvl w:val="0"/>
          <w:numId w:val="0"/>
        </w:numPr>
        <w:ind w:leftChars="0"/>
        <w:rPr>
          <w:rFonts w:hint="default"/>
          <w:b/>
          <w:bCs w:val="0"/>
          <w:sz w:val="22"/>
          <w:szCs w:val="22"/>
          <w:lang w:val="en-US" w:eastAsia="zh-CN"/>
        </w:rPr>
      </w:pPr>
      <w:r>
        <w:rPr>
          <w:rFonts w:hint="eastAsia"/>
          <w:b/>
          <w:bCs w:val="0"/>
          <w:sz w:val="22"/>
          <w:szCs w:val="22"/>
          <w:lang w:val="en-US" w:eastAsia="zh-CN"/>
        </w:rPr>
        <w:t xml:space="preserve">Proposal 1: </w:t>
      </w:r>
      <w:r>
        <w:rPr>
          <w:rFonts w:ascii="Times New Roman" w:hAnsi="Times New Roman"/>
          <w:sz w:val="22"/>
          <w:szCs w:val="22"/>
          <w:lang w:eastAsia="zh-CN"/>
        </w:rPr>
        <w:t>If single FFT processing is assumed, the condition for PRS measurement without MG is that the expected Rx timing difference between the PRS from the non-serving cell and that from serving cell is within CP</w:t>
      </w:r>
      <w:r>
        <w:rPr>
          <w:rFonts w:hint="eastAsia"/>
          <w:b/>
          <w:bCs w:val="0"/>
          <w:sz w:val="22"/>
          <w:szCs w:val="22"/>
          <w:lang w:val="en-US" w:eastAsia="zh-CN"/>
        </w:rPr>
        <w:t xml:space="preserve">. </w:t>
      </w:r>
      <w:r>
        <w:rPr>
          <w:rFonts w:hint="eastAsia"/>
          <w:sz w:val="22"/>
          <w:szCs w:val="22"/>
          <w:lang w:val="en-US" w:eastAsia="zh-CN"/>
        </w:rPr>
        <w:t>The</w:t>
      </w:r>
      <w:r>
        <w:rPr>
          <w:rFonts w:ascii="Times New Roman" w:hAnsi="Times New Roman"/>
          <w:sz w:val="22"/>
          <w:szCs w:val="22"/>
          <w:lang w:eastAsia="zh-CN"/>
        </w:rPr>
        <w:t xml:space="preserve"> threshold is not necessary when multiple FFT processing is assumed.</w:t>
      </w:r>
    </w:p>
    <w:p>
      <w:pPr>
        <w:pStyle w:val="28"/>
        <w:jc w:val="both"/>
      </w:pPr>
      <w:r>
        <w:t>References</w:t>
      </w:r>
    </w:p>
    <w:p>
      <w:pPr>
        <w:numPr>
          <w:ilvl w:val="0"/>
          <w:numId w:val="12"/>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R1-2200051</w:t>
      </w:r>
    </w:p>
    <w:p>
      <w:pPr>
        <w:numPr>
          <w:ilvl w:val="0"/>
          <w:numId w:val="12"/>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R4-2202776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3B872EC"/>
    <w:multiLevelType w:val="multilevel"/>
    <w:tmpl w:val="23B872EC"/>
    <w:lvl w:ilvl="0" w:tentative="0">
      <w:start w:val="1"/>
      <w:numFmt w:val="bullet"/>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Symbol" w:hAnsi="Symbol"/>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26861B16"/>
    <w:multiLevelType w:val="multilevel"/>
    <w:tmpl w:val="26861B1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Symbol" w:hAnsi="Symbo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45063560"/>
    <w:multiLevelType w:val="multilevel"/>
    <w:tmpl w:val="45063560"/>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4">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B096DD8"/>
    <w:multiLevelType w:val="multilevel"/>
    <w:tmpl w:val="4B096DD8"/>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1734" w:hanging="360"/>
      </w:pPr>
      <w:rPr>
        <w:rFonts w:hint="default" w:ascii="Symbol" w:hAnsi="Symbol"/>
      </w:rPr>
    </w:lvl>
    <w:lvl w:ilvl="1" w:tentative="0">
      <w:start w:val="1"/>
      <w:numFmt w:val="bullet"/>
      <w:lvlText w:val="o"/>
      <w:lvlJc w:val="left"/>
      <w:pPr>
        <w:ind w:left="2454" w:hanging="360"/>
      </w:pPr>
      <w:rPr>
        <w:rFonts w:hint="default" w:ascii="Courier New" w:hAnsi="Courier New" w:cs="Courier New"/>
      </w:rPr>
    </w:lvl>
    <w:lvl w:ilvl="2" w:tentative="0">
      <w:start w:val="1"/>
      <w:numFmt w:val="bullet"/>
      <w:lvlText w:val=""/>
      <w:lvlJc w:val="left"/>
      <w:pPr>
        <w:ind w:left="3174" w:hanging="360"/>
      </w:pPr>
      <w:rPr>
        <w:rFonts w:hint="default" w:ascii="Wingdings" w:hAnsi="Wingdings"/>
      </w:rPr>
    </w:lvl>
    <w:lvl w:ilvl="3" w:tentative="0">
      <w:start w:val="1"/>
      <w:numFmt w:val="bullet"/>
      <w:lvlText w:val=""/>
      <w:lvlJc w:val="left"/>
      <w:pPr>
        <w:ind w:left="3894" w:hanging="360"/>
      </w:pPr>
      <w:rPr>
        <w:rFonts w:hint="default" w:ascii="Symbol" w:hAnsi="Symbol"/>
      </w:rPr>
    </w:lvl>
    <w:lvl w:ilvl="4" w:tentative="0">
      <w:start w:val="1"/>
      <w:numFmt w:val="bullet"/>
      <w:lvlText w:val="o"/>
      <w:lvlJc w:val="left"/>
      <w:pPr>
        <w:ind w:left="4614" w:hanging="360"/>
      </w:pPr>
      <w:rPr>
        <w:rFonts w:hint="default" w:ascii="Courier New" w:hAnsi="Courier New" w:cs="Courier New"/>
      </w:rPr>
    </w:lvl>
    <w:lvl w:ilvl="5" w:tentative="0">
      <w:start w:val="1"/>
      <w:numFmt w:val="bullet"/>
      <w:lvlText w:val=""/>
      <w:lvlJc w:val="left"/>
      <w:pPr>
        <w:ind w:left="5334" w:hanging="360"/>
      </w:pPr>
      <w:rPr>
        <w:rFonts w:hint="default" w:ascii="Wingdings" w:hAnsi="Wingdings"/>
      </w:rPr>
    </w:lvl>
    <w:lvl w:ilvl="6" w:tentative="0">
      <w:start w:val="1"/>
      <w:numFmt w:val="bullet"/>
      <w:lvlText w:val=""/>
      <w:lvlJc w:val="left"/>
      <w:pPr>
        <w:ind w:left="6054" w:hanging="360"/>
      </w:pPr>
      <w:rPr>
        <w:rFonts w:hint="default" w:ascii="Symbol" w:hAnsi="Symbol"/>
      </w:rPr>
    </w:lvl>
    <w:lvl w:ilvl="7" w:tentative="0">
      <w:start w:val="1"/>
      <w:numFmt w:val="bullet"/>
      <w:lvlText w:val="o"/>
      <w:lvlJc w:val="left"/>
      <w:pPr>
        <w:ind w:left="6774" w:hanging="360"/>
      </w:pPr>
      <w:rPr>
        <w:rFonts w:hint="default" w:ascii="Courier New" w:hAnsi="Courier New" w:cs="Courier New"/>
      </w:rPr>
    </w:lvl>
    <w:lvl w:ilvl="8" w:tentative="0">
      <w:start w:val="1"/>
      <w:numFmt w:val="bullet"/>
      <w:lvlText w:val=""/>
      <w:lvlJc w:val="left"/>
      <w:pPr>
        <w:ind w:left="7494" w:hanging="360"/>
      </w:pPr>
      <w:rPr>
        <w:rFonts w:hint="default" w:ascii="Wingdings" w:hAnsi="Wingdings"/>
      </w:rPr>
    </w:lvl>
  </w:abstractNum>
  <w:abstractNum w:abstractNumId="10">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2A62CCD"/>
    <w:multiLevelType w:val="multilevel"/>
    <w:tmpl w:val="72A62C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6"/>
  </w:num>
  <w:num w:numId="4">
    <w:abstractNumId w:val="10"/>
  </w:num>
  <w:num w:numId="5">
    <w:abstractNumId w:val="8"/>
  </w:num>
  <w:num w:numId="6">
    <w:abstractNumId w:val="1"/>
  </w:num>
  <w:num w:numId="7">
    <w:abstractNumId w:val="11"/>
  </w:num>
  <w:num w:numId="8">
    <w:abstractNumId w:val="9"/>
  </w:num>
  <w:num w:numId="9">
    <w:abstractNumId w:val="5"/>
  </w:num>
  <w:num w:numId="10">
    <w:abstractNumId w:val="2"/>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3E3FC9"/>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4712BA"/>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3F4D5C"/>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D458F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261E37"/>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AA1847"/>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B94775"/>
    <w:rsid w:val="3ECE16FA"/>
    <w:rsid w:val="3EEB1741"/>
    <w:rsid w:val="3F3542FD"/>
    <w:rsid w:val="3F4118C8"/>
    <w:rsid w:val="3F5C676A"/>
    <w:rsid w:val="3FBE1A7F"/>
    <w:rsid w:val="3FF55768"/>
    <w:rsid w:val="40093B4F"/>
    <w:rsid w:val="40462AC9"/>
    <w:rsid w:val="40566CBF"/>
    <w:rsid w:val="40776BAF"/>
    <w:rsid w:val="407921CE"/>
    <w:rsid w:val="40C04FE0"/>
    <w:rsid w:val="41AA7137"/>
    <w:rsid w:val="41EC58FB"/>
    <w:rsid w:val="41F931F1"/>
    <w:rsid w:val="4221486C"/>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2C3B"/>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6C48CC"/>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2930B0"/>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